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8A" w:rsidRDefault="0010759F">
      <w:pPr>
        <w:ind w:left="-540"/>
        <w:jc w:val="right"/>
        <w:rPr>
          <w:b/>
          <w:noProof/>
          <w:u w:val="single"/>
        </w:rPr>
      </w:pPr>
      <w:r>
        <w:rPr>
          <w:b/>
          <w:noProof/>
        </w:rPr>
        <w:drawing>
          <wp:inline distT="0" distB="0" distL="0" distR="0">
            <wp:extent cx="12954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295400" cy="1104900"/>
                    </a:xfrm>
                    <a:prstGeom prst="rect">
                      <a:avLst/>
                    </a:prstGeom>
                    <a:noFill/>
                    <a:ln w="9525">
                      <a:noFill/>
                      <a:miter lim="800000"/>
                      <a:headEnd/>
                      <a:tailEnd/>
                    </a:ln>
                  </pic:spPr>
                </pic:pic>
              </a:graphicData>
            </a:graphic>
          </wp:inline>
        </w:drawing>
      </w:r>
    </w:p>
    <w:p w:rsidR="004F49E5" w:rsidRPr="00E70614" w:rsidRDefault="008C72DF" w:rsidP="004630A7">
      <w:pPr>
        <w:ind w:left="-540"/>
        <w:jc w:val="center"/>
        <w:rPr>
          <w:b/>
          <w:u w:val="single"/>
        </w:rPr>
      </w:pPr>
      <w:r>
        <w:rPr>
          <w:b/>
          <w:u w:val="single"/>
        </w:rPr>
        <w:t>PlanExpress</w:t>
      </w:r>
      <w:r w:rsidR="00823357">
        <w:rPr>
          <w:b/>
          <w:u w:val="single"/>
        </w:rPr>
        <w:t xml:space="preserve"> – TPA Quick Guide</w:t>
      </w:r>
    </w:p>
    <w:p w:rsidR="004F49E5" w:rsidRPr="00E70614" w:rsidRDefault="004F49E5" w:rsidP="00E70614">
      <w:pPr>
        <w:ind w:left="-540" w:right="-360"/>
        <w:jc w:val="both"/>
        <w:rPr>
          <w:b/>
          <w:u w:val="single"/>
        </w:rPr>
      </w:pPr>
    </w:p>
    <w:p w:rsidR="003C3330" w:rsidRDefault="003C3330" w:rsidP="003C3330">
      <w:pPr>
        <w:ind w:left="-540" w:right="-360"/>
        <w:jc w:val="both"/>
      </w:pPr>
      <w:r>
        <w:t xml:space="preserve">This </w:t>
      </w:r>
      <w:r w:rsidR="00A4232A">
        <w:t xml:space="preserve">guide </w:t>
      </w:r>
      <w:r>
        <w:t>provides an overview of PlanExpress</w:t>
      </w:r>
      <w:r w:rsidR="00BB5D62">
        <w:t xml:space="preserve">, </w:t>
      </w:r>
      <w:r>
        <w:t xml:space="preserve">your primary tool for </w:t>
      </w:r>
      <w:r w:rsidR="00A4232A">
        <w:t xml:space="preserve">providing </w:t>
      </w:r>
      <w:r>
        <w:t>plan</w:t>
      </w:r>
      <w:r w:rsidR="00A4232A">
        <w:t xml:space="preserve"> provision detail during the conversion process.</w:t>
      </w:r>
    </w:p>
    <w:p w:rsidR="00A4232A" w:rsidRDefault="00A4232A" w:rsidP="003C3330">
      <w:pPr>
        <w:ind w:left="-540" w:right="-360"/>
        <w:jc w:val="both"/>
      </w:pPr>
    </w:p>
    <w:p w:rsidR="00B161E6" w:rsidRPr="00A4232A" w:rsidRDefault="00B161E6" w:rsidP="00A4232A">
      <w:pPr>
        <w:numPr>
          <w:ilvl w:val="1"/>
          <w:numId w:val="17"/>
        </w:numPr>
        <w:ind w:right="-360"/>
        <w:jc w:val="both"/>
      </w:pPr>
      <w:r w:rsidRPr="00A4232A">
        <w:t>Launched via PartnerLink</w:t>
      </w:r>
      <w:r w:rsidR="0010759F">
        <w:t>®</w:t>
      </w:r>
    </w:p>
    <w:p w:rsidR="00B161E6" w:rsidRPr="00A4232A" w:rsidRDefault="00B161E6" w:rsidP="00A4232A">
      <w:pPr>
        <w:numPr>
          <w:ilvl w:val="1"/>
          <w:numId w:val="17"/>
        </w:numPr>
        <w:ind w:right="-360"/>
        <w:jc w:val="both"/>
      </w:pPr>
      <w:r w:rsidRPr="00A4232A">
        <w:t>Guided Experience; index navigation with show/hide logic based on prior answers</w:t>
      </w:r>
    </w:p>
    <w:p w:rsidR="00A4232A" w:rsidRDefault="00B161E6" w:rsidP="00A4232A">
      <w:pPr>
        <w:numPr>
          <w:ilvl w:val="1"/>
          <w:numId w:val="17"/>
        </w:numPr>
        <w:ind w:right="-360"/>
        <w:jc w:val="both"/>
      </w:pPr>
      <w:r w:rsidRPr="00A4232A">
        <w:t>Data mapped directly into Recordkeeping System</w:t>
      </w:r>
    </w:p>
    <w:p w:rsidR="001D523C" w:rsidRDefault="001D523C" w:rsidP="00A4232A">
      <w:pPr>
        <w:numPr>
          <w:ilvl w:val="1"/>
          <w:numId w:val="17"/>
        </w:numPr>
        <w:ind w:right="-360"/>
        <w:jc w:val="both"/>
      </w:pPr>
      <w:r>
        <w:t>TPA Plan Installation Summary; summary document of TPA answers to Plan Installation Questionnaire</w:t>
      </w:r>
    </w:p>
    <w:p w:rsidR="004E1B8A" w:rsidRDefault="004E1B8A">
      <w:pPr>
        <w:ind w:right="-360"/>
        <w:jc w:val="both"/>
      </w:pPr>
    </w:p>
    <w:p w:rsidR="00A4232A" w:rsidRPr="0006757B" w:rsidRDefault="00A4232A" w:rsidP="003C3330">
      <w:pPr>
        <w:ind w:left="-540" w:right="-360"/>
        <w:jc w:val="both"/>
      </w:pPr>
    </w:p>
    <w:p w:rsidR="003C3330" w:rsidRPr="00A4232A" w:rsidRDefault="00784915" w:rsidP="00A66337">
      <w:pPr>
        <w:ind w:left="-540" w:right="-360"/>
        <w:jc w:val="both"/>
        <w:rPr>
          <w:b/>
          <w:u w:val="single"/>
        </w:rPr>
      </w:pPr>
      <w:r w:rsidRPr="00784915">
        <w:rPr>
          <w:b/>
          <w:u w:val="single"/>
        </w:rPr>
        <w:t>Website Access</w:t>
      </w:r>
    </w:p>
    <w:p w:rsidR="00A4232A" w:rsidRDefault="00A4232A" w:rsidP="00A4232A">
      <w:pPr>
        <w:ind w:left="-540" w:right="-360"/>
        <w:jc w:val="both"/>
      </w:pPr>
      <w:r w:rsidRPr="00A4232A">
        <w:t>After logging in</w:t>
      </w:r>
      <w:r>
        <w:t>to PartnerLink</w:t>
      </w:r>
      <w:r w:rsidRPr="00A4232A">
        <w:t xml:space="preserve">, access PlanExpress via the PlanExpress link located under the Implementation menu on the PartnerLink tab. </w:t>
      </w:r>
    </w:p>
    <w:p w:rsidR="00A4232A" w:rsidRDefault="00A4232A" w:rsidP="00A4232A">
      <w:pPr>
        <w:ind w:left="-540" w:right="-360"/>
        <w:jc w:val="both"/>
      </w:pPr>
    </w:p>
    <w:p w:rsidR="00A4232A" w:rsidRDefault="00784915" w:rsidP="00A4232A">
      <w:pPr>
        <w:ind w:left="-540" w:right="-360"/>
        <w:jc w:val="both"/>
        <w:rPr>
          <w:b/>
          <w:u w:val="single"/>
        </w:rPr>
      </w:pPr>
      <w:r w:rsidRPr="00784915">
        <w:rPr>
          <w:b/>
          <w:u w:val="single"/>
        </w:rPr>
        <w:t>Plan Access</w:t>
      </w:r>
    </w:p>
    <w:p w:rsidR="00BB5D62" w:rsidRDefault="00A4232A" w:rsidP="00A4232A">
      <w:pPr>
        <w:ind w:left="-540" w:right="-360"/>
        <w:jc w:val="both"/>
      </w:pPr>
      <w:r>
        <w:t xml:space="preserve">On the PlanExpress menu select Option 2: Complete Plan Data. This option will take you to your available plan list. Only </w:t>
      </w:r>
      <w:r w:rsidR="001D523C">
        <w:t xml:space="preserve">your </w:t>
      </w:r>
      <w:r>
        <w:t xml:space="preserve">plans </w:t>
      </w:r>
      <w:r w:rsidR="001D523C">
        <w:t>will be available on the plan list or through the search function</w:t>
      </w:r>
      <w:r>
        <w:t xml:space="preserve">. </w:t>
      </w:r>
    </w:p>
    <w:p w:rsidR="00BB5D62" w:rsidRDefault="00BB5D62" w:rsidP="00A4232A">
      <w:pPr>
        <w:ind w:left="-540" w:right="-360"/>
        <w:jc w:val="both"/>
      </w:pPr>
    </w:p>
    <w:p w:rsidR="00BB5D62" w:rsidRPr="00BB5D62" w:rsidRDefault="00784915" w:rsidP="00A4232A">
      <w:pPr>
        <w:ind w:left="-540" w:right="-360"/>
        <w:jc w:val="both"/>
        <w:rPr>
          <w:b/>
          <w:u w:val="single"/>
        </w:rPr>
      </w:pPr>
      <w:r w:rsidRPr="00784915">
        <w:rPr>
          <w:b/>
          <w:u w:val="single"/>
        </w:rPr>
        <w:t>Site Navigation</w:t>
      </w:r>
      <w:r w:rsidR="00BB5D62">
        <w:rPr>
          <w:b/>
          <w:u w:val="single"/>
        </w:rPr>
        <w:t>/ Functionality</w:t>
      </w:r>
    </w:p>
    <w:p w:rsidR="00A4232A" w:rsidRDefault="00A4232A" w:rsidP="00A4232A">
      <w:pPr>
        <w:ind w:left="-540" w:right="-360"/>
        <w:jc w:val="both"/>
      </w:pPr>
      <w:r>
        <w:t>Upon selecting a plan you will be taken to the Plan Installation Questionnaire index.</w:t>
      </w:r>
      <w:r w:rsidR="00BB5D62">
        <w:t xml:space="preserve"> From the</w:t>
      </w:r>
      <w:r>
        <w:t xml:space="preserve"> index</w:t>
      </w:r>
      <w:r w:rsidR="00BB5D62">
        <w:t xml:space="preserve">, you will be able to navigate through the questionnaire by clicking on any Page Title. You will also be able to progress through the questionnaire using the navigation buttons provided within each page. </w:t>
      </w:r>
    </w:p>
    <w:p w:rsidR="00BB5D62" w:rsidRDefault="00BB5D62" w:rsidP="00A4232A">
      <w:pPr>
        <w:ind w:left="-540" w:right="-360"/>
        <w:jc w:val="both"/>
      </w:pPr>
    </w:p>
    <w:p w:rsidR="004E1B8A" w:rsidRDefault="00784915">
      <w:pPr>
        <w:numPr>
          <w:ilvl w:val="0"/>
          <w:numId w:val="18"/>
        </w:numPr>
        <w:ind w:right="-360"/>
        <w:jc w:val="both"/>
      </w:pPr>
      <w:r w:rsidRPr="00784915">
        <w:rPr>
          <w:b/>
          <w:i/>
        </w:rPr>
        <w:t>Mandatory Fields</w:t>
      </w:r>
      <w:r w:rsidR="00BB5D62">
        <w:t xml:space="preserve"> – Fields marked with a red vertical line are required and must be completed to save updates to the page.</w:t>
      </w:r>
    </w:p>
    <w:p w:rsidR="004E1B8A" w:rsidRDefault="00784915">
      <w:pPr>
        <w:numPr>
          <w:ilvl w:val="0"/>
          <w:numId w:val="18"/>
        </w:numPr>
        <w:ind w:right="-360"/>
        <w:jc w:val="both"/>
      </w:pPr>
      <w:r w:rsidRPr="00784915">
        <w:rPr>
          <w:b/>
          <w:i/>
        </w:rPr>
        <w:t>Case Sensitive</w:t>
      </w:r>
      <w:r w:rsidR="00BB5D62">
        <w:t xml:space="preserve"> </w:t>
      </w:r>
      <w:r w:rsidR="0010759F">
        <w:t>–</w:t>
      </w:r>
      <w:r w:rsidR="00BB5D62">
        <w:t xml:space="preserve"> </w:t>
      </w:r>
      <w:r w:rsidR="00BB5D62" w:rsidRPr="00BB5D62">
        <w:t>Fields are case</w:t>
      </w:r>
      <w:r w:rsidR="0010759F">
        <w:t>-</w:t>
      </w:r>
      <w:r w:rsidR="00BB5D62" w:rsidRPr="00BB5D62">
        <w:t>sensitive and will load into the Recordkeeping System as input.</w:t>
      </w:r>
    </w:p>
    <w:p w:rsidR="00BB5D62" w:rsidRPr="00BB5D62" w:rsidRDefault="00784915" w:rsidP="00BB5D62">
      <w:pPr>
        <w:numPr>
          <w:ilvl w:val="0"/>
          <w:numId w:val="18"/>
        </w:numPr>
        <w:ind w:right="-360"/>
        <w:jc w:val="both"/>
      </w:pPr>
      <w:r w:rsidRPr="00784915">
        <w:rPr>
          <w:b/>
          <w:i/>
        </w:rPr>
        <w:t>Navigation Buttons</w:t>
      </w:r>
      <w:r w:rsidR="00BB5D62">
        <w:t xml:space="preserve"> </w:t>
      </w:r>
      <w:r w:rsidR="0010759F">
        <w:t>–</w:t>
      </w:r>
      <w:r w:rsidR="00BB5D62">
        <w:t xml:space="preserve"> </w:t>
      </w:r>
      <w:r w:rsidR="00BB5D62" w:rsidRPr="00BB5D62">
        <w:t>Each page contains navigational buttons</w:t>
      </w:r>
      <w:r w:rsidR="00BB5D62">
        <w:t xml:space="preserve"> allowing you to 1.</w:t>
      </w:r>
      <w:r w:rsidR="0010759F">
        <w:t>)</w:t>
      </w:r>
      <w:r w:rsidR="00BB5D62">
        <w:t xml:space="preserve"> save or skip</w:t>
      </w:r>
      <w:r w:rsidR="00BB5D62" w:rsidRPr="00BB5D62">
        <w:t xml:space="preserve"> </w:t>
      </w:r>
      <w:r w:rsidR="00BB5D62">
        <w:t>changes made to a page and 2.</w:t>
      </w:r>
      <w:r w:rsidR="0010759F">
        <w:t>)</w:t>
      </w:r>
      <w:r w:rsidR="00BB5D62">
        <w:t xml:space="preserve"> </w:t>
      </w:r>
      <w:r w:rsidR="0010759F">
        <w:t>c</w:t>
      </w:r>
      <w:r w:rsidR="00BB5D62">
        <w:t>ontinue through the questionnaire to the next page, return to the questionnaire index or return to the PlanExpress menu.</w:t>
      </w:r>
      <w:r w:rsidR="00BB5D62" w:rsidRPr="00BB5D62">
        <w:t xml:space="preserve"> </w:t>
      </w:r>
    </w:p>
    <w:p w:rsidR="004E1B8A" w:rsidRDefault="00784915">
      <w:pPr>
        <w:numPr>
          <w:ilvl w:val="0"/>
          <w:numId w:val="18"/>
        </w:numPr>
        <w:ind w:right="-360"/>
        <w:jc w:val="both"/>
      </w:pPr>
      <w:r w:rsidRPr="00784915">
        <w:rPr>
          <w:b/>
          <w:i/>
        </w:rPr>
        <w:t>Help Instruction</w:t>
      </w:r>
      <w:r w:rsidR="00BB5D62">
        <w:t xml:space="preserve"> –</w:t>
      </w:r>
      <w:r w:rsidR="00333D2E">
        <w:t xml:space="preserve"> I</w:t>
      </w:r>
      <w:r w:rsidR="00BB5D62">
        <w:t>nstructio</w:t>
      </w:r>
      <w:r w:rsidR="00333D2E">
        <w:t>ns on how to complete fields are included on several pages.</w:t>
      </w:r>
    </w:p>
    <w:p w:rsidR="00333D2E" w:rsidRPr="00333D2E" w:rsidRDefault="00333D2E" w:rsidP="00333D2E">
      <w:pPr>
        <w:numPr>
          <w:ilvl w:val="0"/>
          <w:numId w:val="18"/>
        </w:numPr>
        <w:ind w:right="-360"/>
        <w:jc w:val="both"/>
      </w:pPr>
      <w:r>
        <w:rPr>
          <w:b/>
          <w:i/>
        </w:rPr>
        <w:t xml:space="preserve">Guided Experience </w:t>
      </w:r>
      <w:r w:rsidR="0010759F">
        <w:t>–</w:t>
      </w:r>
      <w:r>
        <w:t xml:space="preserve"> G</w:t>
      </w:r>
      <w:r w:rsidRPr="00333D2E">
        <w:t>uided user experience through show/hide logic by linking related questions. Subsequent questions will appear or hide based on how previous questions were answered.</w:t>
      </w:r>
    </w:p>
    <w:p w:rsidR="004E1B8A" w:rsidRDefault="004E1B8A">
      <w:pPr>
        <w:ind w:left="180" w:right="-360"/>
        <w:jc w:val="both"/>
      </w:pPr>
    </w:p>
    <w:p w:rsidR="00B161E6" w:rsidRDefault="00B161E6" w:rsidP="00784A6C">
      <w:pPr>
        <w:ind w:left="-540" w:right="-360"/>
        <w:jc w:val="both"/>
        <w:rPr>
          <w:b/>
          <w:u w:val="single"/>
        </w:rPr>
      </w:pPr>
    </w:p>
    <w:p w:rsidR="00784A6C" w:rsidRDefault="00784A6C" w:rsidP="00784A6C">
      <w:pPr>
        <w:ind w:left="-540" w:right="-360"/>
        <w:jc w:val="both"/>
        <w:rPr>
          <w:b/>
          <w:u w:val="single"/>
        </w:rPr>
      </w:pPr>
      <w:r>
        <w:rPr>
          <w:b/>
          <w:u w:val="single"/>
        </w:rPr>
        <w:lastRenderedPageBreak/>
        <w:t>Process Overview</w:t>
      </w:r>
    </w:p>
    <w:p w:rsidR="00784A6C" w:rsidRDefault="0010759F" w:rsidP="00315462">
      <w:pPr>
        <w:ind w:left="-540" w:right="-360"/>
        <w:jc w:val="both"/>
        <w:rPr>
          <w:rFonts w:ascii="Arial" w:hAnsi="Arial" w:cs="Arial"/>
        </w:rPr>
      </w:pPr>
      <w:r>
        <w:rPr>
          <w:rFonts w:ascii="Arial" w:hAnsi="Arial" w:cs="Arial"/>
          <w:noProof/>
        </w:rPr>
        <w:drawing>
          <wp:inline distT="0" distB="0" distL="0" distR="0">
            <wp:extent cx="5400675" cy="2762250"/>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l="31891" t="37112" r="17146" b="29279"/>
                    <a:stretch>
                      <a:fillRect/>
                    </a:stretch>
                  </pic:blipFill>
                  <pic:spPr bwMode="auto">
                    <a:xfrm>
                      <a:off x="0" y="0"/>
                      <a:ext cx="5400675" cy="2762250"/>
                    </a:xfrm>
                    <a:prstGeom prst="rect">
                      <a:avLst/>
                    </a:prstGeom>
                    <a:noFill/>
                    <a:ln w="9525">
                      <a:noFill/>
                      <a:miter lim="800000"/>
                      <a:headEnd/>
                      <a:tailEnd/>
                    </a:ln>
                  </pic:spPr>
                </pic:pic>
              </a:graphicData>
            </a:graphic>
          </wp:inline>
        </w:drawing>
      </w:r>
    </w:p>
    <w:p w:rsidR="00B161E6" w:rsidRDefault="00B161E6" w:rsidP="00B161E6">
      <w:pPr>
        <w:ind w:left="-540" w:right="-360"/>
        <w:jc w:val="both"/>
        <w:rPr>
          <w:b/>
          <w:u w:val="single"/>
        </w:rPr>
      </w:pPr>
    </w:p>
    <w:p w:rsidR="00E16FFB" w:rsidRDefault="00E16FFB" w:rsidP="00B161E6">
      <w:pPr>
        <w:ind w:left="-540" w:right="-360"/>
        <w:jc w:val="both"/>
        <w:rPr>
          <w:b/>
          <w:u w:val="single"/>
        </w:rPr>
      </w:pPr>
    </w:p>
    <w:p w:rsidR="00B161E6" w:rsidRDefault="00B161E6" w:rsidP="00B161E6">
      <w:pPr>
        <w:ind w:left="-540" w:right="-360"/>
        <w:jc w:val="both"/>
        <w:rPr>
          <w:b/>
          <w:u w:val="single"/>
        </w:rPr>
      </w:pPr>
      <w:r w:rsidRPr="00784A6C">
        <w:rPr>
          <w:b/>
          <w:u w:val="single"/>
        </w:rPr>
        <w:t>TPA Tools</w:t>
      </w:r>
      <w:r>
        <w:rPr>
          <w:b/>
          <w:u w:val="single"/>
        </w:rPr>
        <w:t xml:space="preserve"> and Support</w:t>
      </w:r>
    </w:p>
    <w:p w:rsidR="00B161E6" w:rsidRDefault="00B161E6" w:rsidP="00B161E6">
      <w:pPr>
        <w:ind w:left="-540" w:right="-360"/>
        <w:jc w:val="both"/>
      </w:pPr>
      <w:r w:rsidRPr="00784A6C">
        <w:t>In moving from a paper TPA checklist to an online interface</w:t>
      </w:r>
      <w:r>
        <w:t xml:space="preserve"> we offer additional tools and support to aid you in providing plan provision detail.</w:t>
      </w:r>
    </w:p>
    <w:p w:rsidR="00B161E6" w:rsidRPr="00784A6C" w:rsidRDefault="00B161E6" w:rsidP="00B161E6">
      <w:pPr>
        <w:ind w:left="-540" w:right="-360"/>
        <w:jc w:val="both"/>
      </w:pPr>
    </w:p>
    <w:p w:rsidR="00B161E6" w:rsidRPr="00784A6C" w:rsidRDefault="00B161E6" w:rsidP="00B161E6">
      <w:pPr>
        <w:numPr>
          <w:ilvl w:val="0"/>
          <w:numId w:val="19"/>
        </w:numPr>
        <w:ind w:right="-360"/>
        <w:jc w:val="both"/>
      </w:pPr>
      <w:r w:rsidRPr="00784A6C">
        <w:rPr>
          <w:b/>
          <w:i/>
        </w:rPr>
        <w:t>TPA Plan Installation Summary</w:t>
      </w:r>
      <w:r>
        <w:t xml:space="preserve"> </w:t>
      </w:r>
      <w:r w:rsidR="00DD13DC">
        <w:t xml:space="preserve">– </w:t>
      </w:r>
      <w:r w:rsidRPr="00784A6C">
        <w:t xml:space="preserve">A TPA Plan Installation Summary will generate </w:t>
      </w:r>
      <w:r>
        <w:t>upon completion of the Plan Installation Questionnaire and be delivered to your email address on file.</w:t>
      </w:r>
      <w:r w:rsidRPr="00784A6C">
        <w:t xml:space="preserve"> The summary can be used as a tool to review and confirm plan provisions as the content of the TPA Plan Installation Summary will be determined and generated by PlanExpress based upon the answers you provide in the Plan’s Installation Questionnaire.  Additionally, this same information will be used to create the initial enrollment books and to build the plan on the Recordkeeping System.</w:t>
      </w:r>
    </w:p>
    <w:p w:rsidR="004E1B8A" w:rsidRDefault="004E1B8A">
      <w:pPr>
        <w:ind w:left="180" w:right="-360"/>
        <w:jc w:val="both"/>
      </w:pPr>
    </w:p>
    <w:p w:rsidR="00B161E6" w:rsidRDefault="00B161E6" w:rsidP="00B161E6">
      <w:pPr>
        <w:numPr>
          <w:ilvl w:val="0"/>
          <w:numId w:val="19"/>
        </w:numPr>
        <w:ind w:right="-360"/>
        <w:jc w:val="both"/>
      </w:pPr>
      <w:r w:rsidRPr="00784A6C">
        <w:rPr>
          <w:b/>
          <w:i/>
        </w:rPr>
        <w:t xml:space="preserve">TPA Install Support Team </w:t>
      </w:r>
      <w:r w:rsidR="00DD13DC">
        <w:rPr>
          <w:i/>
        </w:rPr>
        <w:t>–</w:t>
      </w:r>
      <w:r w:rsidRPr="00784A6C">
        <w:rPr>
          <w:b/>
          <w:i/>
        </w:rPr>
        <w:t xml:space="preserve"> </w:t>
      </w:r>
      <w:r>
        <w:t>I</w:t>
      </w:r>
      <w:r w:rsidRPr="00784A6C">
        <w:t xml:space="preserve">mplementation Services has a TPA support team available for PlanExpress training, questions and feedback. Please feel free to contact this group via email at </w:t>
      </w:r>
      <w:hyperlink r:id="rId9" w:history="1">
        <w:r w:rsidR="00DD13DC" w:rsidRPr="001D386A">
          <w:rPr>
            <w:rStyle w:val="Hyperlink"/>
          </w:rPr>
          <w:t>GWF_TPA</w:t>
        </w:r>
        <w:r w:rsidR="00F91F98">
          <w:rPr>
            <w:rStyle w:val="Hyperlink"/>
          </w:rPr>
          <w:t>_Install_Support@gwrs.com</w:t>
        </w:r>
      </w:hyperlink>
      <w:r w:rsidRPr="00784A6C">
        <w:t>.</w:t>
      </w:r>
      <w:r>
        <w:t xml:space="preserve"> </w:t>
      </w:r>
    </w:p>
    <w:p w:rsidR="00B161E6" w:rsidRDefault="00B161E6" w:rsidP="00B161E6">
      <w:pPr>
        <w:ind w:left="180" w:right="-360"/>
        <w:jc w:val="both"/>
        <w:rPr>
          <w:b/>
          <w:i/>
        </w:rPr>
      </w:pPr>
    </w:p>
    <w:p w:rsidR="00B161E6" w:rsidRPr="00784A6C" w:rsidRDefault="00B161E6" w:rsidP="00B161E6">
      <w:pPr>
        <w:ind w:left="180" w:right="-360"/>
        <w:jc w:val="both"/>
      </w:pPr>
      <w:r w:rsidRPr="00784A6C">
        <w:t>During the conversion process you may also contact your assigned Implementation Analyst for assistance.</w:t>
      </w:r>
    </w:p>
    <w:p w:rsidR="004E1B8A" w:rsidRDefault="004E1B8A">
      <w:pPr>
        <w:ind w:left="180" w:right="-360"/>
        <w:jc w:val="both"/>
      </w:pPr>
    </w:p>
    <w:p w:rsidR="00B161E6" w:rsidRDefault="00B161E6" w:rsidP="00B161E6">
      <w:pPr>
        <w:numPr>
          <w:ilvl w:val="0"/>
          <w:numId w:val="19"/>
        </w:numPr>
        <w:ind w:right="-360"/>
        <w:jc w:val="both"/>
      </w:pPr>
      <w:r>
        <w:rPr>
          <w:b/>
          <w:i/>
        </w:rPr>
        <w:t xml:space="preserve">TPA PlanExpress Training Deck – </w:t>
      </w:r>
      <w:r>
        <w:t xml:space="preserve">Additional detail and screen prints of the information provided in this quick guide is available in a PowerPoint presentation. A copy of the presentation can be obtained from your assigned Implementation Analyst, </w:t>
      </w:r>
      <w:r w:rsidRPr="00784A6C">
        <w:t>TPA Install Support Team or TPA Director</w:t>
      </w:r>
      <w:r>
        <w:t>.</w:t>
      </w:r>
    </w:p>
    <w:p w:rsidR="00B161E6" w:rsidRDefault="00B161E6" w:rsidP="00315462">
      <w:pPr>
        <w:ind w:left="-540" w:right="-360"/>
        <w:jc w:val="both"/>
      </w:pPr>
    </w:p>
    <w:p w:rsidR="001D523C" w:rsidRDefault="001D523C" w:rsidP="00315462">
      <w:pPr>
        <w:ind w:left="-540" w:right="-360"/>
        <w:jc w:val="both"/>
      </w:pPr>
    </w:p>
    <w:p w:rsidR="00E16FFB" w:rsidRDefault="00E16FFB" w:rsidP="00315462">
      <w:pPr>
        <w:ind w:left="-540" w:right="-360"/>
        <w:jc w:val="both"/>
      </w:pPr>
    </w:p>
    <w:p w:rsidR="00E16FFB" w:rsidRDefault="00E16FFB" w:rsidP="00315462">
      <w:pPr>
        <w:ind w:left="-540" w:right="-360"/>
        <w:jc w:val="both"/>
      </w:pPr>
    </w:p>
    <w:p w:rsidR="00E16FFB" w:rsidRDefault="00E16FFB" w:rsidP="00315462">
      <w:pPr>
        <w:ind w:left="-540" w:right="-360"/>
        <w:jc w:val="both"/>
      </w:pPr>
    </w:p>
    <w:p w:rsidR="001D523C" w:rsidRPr="00B821AC" w:rsidRDefault="006A354E" w:rsidP="00315462">
      <w:pPr>
        <w:ind w:left="-540" w:right="-360"/>
        <w:jc w:val="both"/>
        <w:rPr>
          <w:b/>
          <w:u w:val="single"/>
        </w:rPr>
      </w:pPr>
      <w:r w:rsidRPr="006A354E">
        <w:rPr>
          <w:b/>
          <w:u w:val="single"/>
        </w:rPr>
        <w:lastRenderedPageBreak/>
        <w:t xml:space="preserve">Helpful Hints </w:t>
      </w:r>
    </w:p>
    <w:p w:rsidR="008139CE" w:rsidRDefault="006A354E" w:rsidP="008139CE">
      <w:pPr>
        <w:ind w:left="-540" w:right="-360"/>
        <w:jc w:val="both"/>
      </w:pPr>
      <w:r w:rsidRPr="006A354E">
        <w:rPr>
          <w:b/>
        </w:rPr>
        <w:t>Money Types</w:t>
      </w:r>
      <w:r w:rsidR="001D523C">
        <w:t xml:space="preserve"> – We recommend all money types, active and frozen, be confirmed and entered into PlanExpress prior to completing disbursement </w:t>
      </w:r>
      <w:r w:rsidR="00E16FFB">
        <w:t xml:space="preserve">rule </w:t>
      </w:r>
      <w:r w:rsidR="001D523C">
        <w:t xml:space="preserve">questions. </w:t>
      </w:r>
      <w:r w:rsidR="00B821AC">
        <w:t>I</w:t>
      </w:r>
      <w:r w:rsidR="001D523C">
        <w:t>f</w:t>
      </w:r>
      <w:r w:rsidR="001D523C" w:rsidRPr="001D523C">
        <w:t xml:space="preserve"> </w:t>
      </w:r>
      <w:r w:rsidR="001D523C">
        <w:t>additional m</w:t>
      </w:r>
      <w:r w:rsidR="001D523C" w:rsidRPr="001D523C">
        <w:t xml:space="preserve">oney types are added to </w:t>
      </w:r>
      <w:r w:rsidR="001D523C">
        <w:t>PlanExpress after completion of the disbursement rule questions</w:t>
      </w:r>
      <w:r w:rsidR="001D523C" w:rsidRPr="001D523C">
        <w:t xml:space="preserve">, the questionnaire will delete </w:t>
      </w:r>
      <w:r w:rsidR="00B821AC">
        <w:t xml:space="preserve">all values for these questions.  </w:t>
      </w:r>
      <w:r w:rsidR="001D523C" w:rsidRPr="001D523C">
        <w:t>The questionnaire is designed in this manner to guide the user back through the disbursement questions to cap</w:t>
      </w:r>
      <w:r w:rsidR="00B821AC">
        <w:t>ture the additional money types in order to better ensure the accuracy of the information provided.</w:t>
      </w:r>
    </w:p>
    <w:p w:rsidR="008139CE" w:rsidRDefault="008139CE" w:rsidP="008139CE">
      <w:pPr>
        <w:ind w:left="-540" w:right="-360"/>
        <w:jc w:val="both"/>
        <w:rPr>
          <w:rFonts w:ascii="Tahoma" w:hAnsi="Tahoma" w:cs="Tahoma"/>
          <w:color w:val="000000"/>
          <w:sz w:val="16"/>
          <w:szCs w:val="16"/>
        </w:rPr>
      </w:pPr>
    </w:p>
    <w:p w:rsidR="008139CE" w:rsidRDefault="008139CE" w:rsidP="008139CE">
      <w:pPr>
        <w:ind w:left="-540" w:right="-360"/>
        <w:jc w:val="both"/>
        <w:rPr>
          <w:rFonts w:ascii="Tahoma" w:hAnsi="Tahoma" w:cs="Tahoma"/>
          <w:color w:val="000000"/>
          <w:sz w:val="16"/>
          <w:szCs w:val="16"/>
        </w:rPr>
      </w:pPr>
    </w:p>
    <w:p w:rsidR="008139CE" w:rsidRDefault="008139CE" w:rsidP="008139CE">
      <w:pPr>
        <w:ind w:left="-540" w:right="-360"/>
        <w:jc w:val="both"/>
        <w:rPr>
          <w:rFonts w:ascii="Tahoma" w:hAnsi="Tahoma" w:cs="Tahoma"/>
          <w:sz w:val="20"/>
          <w:szCs w:val="20"/>
        </w:rPr>
      </w:pPr>
      <w:r>
        <w:rPr>
          <w:rFonts w:ascii="Tahoma" w:hAnsi="Tahoma" w:cs="Tahoma"/>
          <w:color w:val="000000"/>
          <w:sz w:val="16"/>
          <w:szCs w:val="16"/>
        </w:rPr>
        <w:t>Great-West Financial</w:t>
      </w:r>
      <w:r>
        <w:rPr>
          <w:rFonts w:ascii="Tahoma" w:hAnsi="Tahoma" w:cs="Tahoma"/>
          <w:color w:val="000000"/>
          <w:sz w:val="16"/>
          <w:szCs w:val="16"/>
          <w:vertAlign w:val="superscript"/>
        </w:rPr>
        <w:t>SM</w:t>
      </w:r>
      <w:r>
        <w:rPr>
          <w:rFonts w:ascii="Tahoma" w:hAnsi="Tahoma" w:cs="Tahoma"/>
          <w:color w:val="000000"/>
          <w:sz w:val="16"/>
          <w:szCs w:val="16"/>
        </w:rPr>
        <w:t xml:space="preserve"> refers to products and services provided by Great-West Life &amp; Annuity Insurance Company (GWL&amp;A), Corporate Headquarters: Greenwood Village, CO; Great-West Life &amp; Annuity Insurance Company of New York (GWL&amp;A of NY), Home Office: White Plains, NY; its subsidiaries and affiliates.   The trademarks, logos, service marks, and design elements used are owned by GWL&amp;A. (c)2013 Great-West Life &amp; Annuity Insurance Company. All rights reserved.   PT183521 (10/13)</w:t>
      </w:r>
    </w:p>
    <w:p w:rsidR="008139CE" w:rsidRPr="001D523C" w:rsidRDefault="008139CE" w:rsidP="001D523C">
      <w:pPr>
        <w:ind w:left="-540" w:right="-360"/>
        <w:jc w:val="both"/>
      </w:pPr>
    </w:p>
    <w:p w:rsidR="00B2440F" w:rsidRDefault="00B2440F" w:rsidP="00B2440F">
      <w:pPr>
        <w:autoSpaceDE w:val="0"/>
        <w:autoSpaceDN w:val="0"/>
        <w:adjustRightInd w:val="0"/>
        <w:rPr>
          <w:rFonts w:ascii="Tahoma" w:hAnsi="Tahoma" w:cs="Tahoma"/>
          <w:color w:val="000000"/>
          <w:sz w:val="16"/>
          <w:szCs w:val="16"/>
        </w:rPr>
      </w:pPr>
    </w:p>
    <w:p w:rsidR="00B2440F" w:rsidRDefault="00B2440F" w:rsidP="00B2440F">
      <w:pPr>
        <w:autoSpaceDE w:val="0"/>
        <w:autoSpaceDN w:val="0"/>
        <w:adjustRightInd w:val="0"/>
        <w:rPr>
          <w:rFonts w:ascii="Tahoma" w:hAnsi="Tahoma" w:cs="Tahoma"/>
          <w:color w:val="000000"/>
          <w:sz w:val="16"/>
          <w:szCs w:val="16"/>
        </w:rPr>
      </w:pPr>
    </w:p>
    <w:p w:rsidR="001D523C" w:rsidRPr="00E70614" w:rsidRDefault="001D523C" w:rsidP="001D523C">
      <w:pPr>
        <w:ind w:left="-540" w:right="-360"/>
        <w:jc w:val="both"/>
      </w:pPr>
    </w:p>
    <w:sectPr w:rsidR="001D523C" w:rsidRPr="00E70614" w:rsidSect="004333A4">
      <w:headerReference w:type="even" r:id="rId10"/>
      <w:headerReference w:type="default" r:id="rId11"/>
      <w:footerReference w:type="even" r:id="rId12"/>
      <w:footerReference w:type="default" r:id="rId13"/>
      <w:headerReference w:type="first" r:id="rId14"/>
      <w:footerReference w:type="first" r:id="rId15"/>
      <w:pgSz w:w="12240" w:h="15840"/>
      <w:pgMar w:top="126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375" w:rsidRDefault="00232375" w:rsidP="0045292A">
      <w:r>
        <w:separator/>
      </w:r>
    </w:p>
  </w:endnote>
  <w:endnote w:type="continuationSeparator" w:id="0">
    <w:p w:rsidR="00232375" w:rsidRDefault="00232375" w:rsidP="0045292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92A" w:rsidRDefault="004529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92A" w:rsidRDefault="0045292A" w:rsidP="0045292A">
    <w:r>
      <w:t>PE.g</w:t>
    </w:r>
    <w:r w:rsidRPr="00D84463">
      <w:t>v1.092013</w:t>
    </w:r>
  </w:p>
  <w:p w:rsidR="0045292A" w:rsidRDefault="0045292A">
    <w:pPr>
      <w:pStyle w:val="Footer"/>
    </w:pPr>
  </w:p>
  <w:p w:rsidR="0045292A" w:rsidRDefault="004529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92A" w:rsidRDefault="00452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375" w:rsidRDefault="00232375" w:rsidP="0045292A">
      <w:r>
        <w:separator/>
      </w:r>
    </w:p>
  </w:footnote>
  <w:footnote w:type="continuationSeparator" w:id="0">
    <w:p w:rsidR="00232375" w:rsidRDefault="00232375" w:rsidP="004529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92A" w:rsidRDefault="004529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92A" w:rsidRDefault="0045292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92A" w:rsidRDefault="0045292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31698"/>
    <w:multiLevelType w:val="hybridMultilevel"/>
    <w:tmpl w:val="DFC042DA"/>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
    <w:nsid w:val="01553D23"/>
    <w:multiLevelType w:val="hybridMultilevel"/>
    <w:tmpl w:val="54665B3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B723517"/>
    <w:multiLevelType w:val="hybridMultilevel"/>
    <w:tmpl w:val="8138BE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C764142"/>
    <w:multiLevelType w:val="hybridMultilevel"/>
    <w:tmpl w:val="48321E48"/>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nsid w:val="15FF0479"/>
    <w:multiLevelType w:val="hybridMultilevel"/>
    <w:tmpl w:val="7A8491A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7490C24"/>
    <w:multiLevelType w:val="hybridMultilevel"/>
    <w:tmpl w:val="DA64E88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78D3714"/>
    <w:multiLevelType w:val="hybridMultilevel"/>
    <w:tmpl w:val="91BE8B4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7">
    <w:nsid w:val="318F6C1D"/>
    <w:multiLevelType w:val="hybridMultilevel"/>
    <w:tmpl w:val="D51C1DAE"/>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nsid w:val="37492712"/>
    <w:multiLevelType w:val="hybridMultilevel"/>
    <w:tmpl w:val="FC0AA266"/>
    <w:lvl w:ilvl="0" w:tplc="7FFC489E">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45B86BF2"/>
    <w:multiLevelType w:val="hybridMultilevel"/>
    <w:tmpl w:val="0298FE9E"/>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nsid w:val="49AE6CFE"/>
    <w:multiLevelType w:val="hybridMultilevel"/>
    <w:tmpl w:val="3170E15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1">
    <w:nsid w:val="50272862"/>
    <w:multiLevelType w:val="multilevel"/>
    <w:tmpl w:val="FC0AA26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512374A7"/>
    <w:multiLevelType w:val="hybridMultilevel"/>
    <w:tmpl w:val="08A4D0B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3">
    <w:nsid w:val="54371AFA"/>
    <w:multiLevelType w:val="multilevel"/>
    <w:tmpl w:val="FC0AA26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6F92115B"/>
    <w:multiLevelType w:val="hybridMultilevel"/>
    <w:tmpl w:val="2C80A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4536178"/>
    <w:multiLevelType w:val="hybridMultilevel"/>
    <w:tmpl w:val="0CD241BC"/>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6">
    <w:nsid w:val="7D2661A0"/>
    <w:multiLevelType w:val="multilevel"/>
    <w:tmpl w:val="FC0AA26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nsid w:val="7E3F0CB4"/>
    <w:multiLevelType w:val="hybridMultilevel"/>
    <w:tmpl w:val="730641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EC46A7A"/>
    <w:multiLevelType w:val="hybridMultilevel"/>
    <w:tmpl w:val="0FC8D3BA"/>
    <w:lvl w:ilvl="0" w:tplc="FF446B84">
      <w:start w:val="1"/>
      <w:numFmt w:val="bullet"/>
      <w:lvlText w:val="–"/>
      <w:lvlJc w:val="left"/>
      <w:pPr>
        <w:tabs>
          <w:tab w:val="num" w:pos="720"/>
        </w:tabs>
        <w:ind w:left="720" w:hanging="360"/>
      </w:pPr>
      <w:rPr>
        <w:rFonts w:ascii="Arial" w:hAnsi="Arial" w:hint="default"/>
      </w:rPr>
    </w:lvl>
    <w:lvl w:ilvl="1" w:tplc="18F2615C">
      <w:start w:val="1"/>
      <w:numFmt w:val="bullet"/>
      <w:lvlText w:val="–"/>
      <w:lvlJc w:val="left"/>
      <w:pPr>
        <w:tabs>
          <w:tab w:val="num" w:pos="1440"/>
        </w:tabs>
        <w:ind w:left="1440" w:hanging="360"/>
      </w:pPr>
      <w:rPr>
        <w:rFonts w:ascii="Arial" w:hAnsi="Arial" w:hint="default"/>
      </w:rPr>
    </w:lvl>
    <w:lvl w:ilvl="2" w:tplc="68120EBC" w:tentative="1">
      <w:start w:val="1"/>
      <w:numFmt w:val="bullet"/>
      <w:lvlText w:val="–"/>
      <w:lvlJc w:val="left"/>
      <w:pPr>
        <w:tabs>
          <w:tab w:val="num" w:pos="2160"/>
        </w:tabs>
        <w:ind w:left="2160" w:hanging="360"/>
      </w:pPr>
      <w:rPr>
        <w:rFonts w:ascii="Arial" w:hAnsi="Arial" w:hint="default"/>
      </w:rPr>
    </w:lvl>
    <w:lvl w:ilvl="3" w:tplc="C8D0465E" w:tentative="1">
      <w:start w:val="1"/>
      <w:numFmt w:val="bullet"/>
      <w:lvlText w:val="–"/>
      <w:lvlJc w:val="left"/>
      <w:pPr>
        <w:tabs>
          <w:tab w:val="num" w:pos="2880"/>
        </w:tabs>
        <w:ind w:left="2880" w:hanging="360"/>
      </w:pPr>
      <w:rPr>
        <w:rFonts w:ascii="Arial" w:hAnsi="Arial" w:hint="default"/>
      </w:rPr>
    </w:lvl>
    <w:lvl w:ilvl="4" w:tplc="E68C1F72" w:tentative="1">
      <w:start w:val="1"/>
      <w:numFmt w:val="bullet"/>
      <w:lvlText w:val="–"/>
      <w:lvlJc w:val="left"/>
      <w:pPr>
        <w:tabs>
          <w:tab w:val="num" w:pos="3600"/>
        </w:tabs>
        <w:ind w:left="3600" w:hanging="360"/>
      </w:pPr>
      <w:rPr>
        <w:rFonts w:ascii="Arial" w:hAnsi="Arial" w:hint="default"/>
      </w:rPr>
    </w:lvl>
    <w:lvl w:ilvl="5" w:tplc="CBCCFF6C" w:tentative="1">
      <w:start w:val="1"/>
      <w:numFmt w:val="bullet"/>
      <w:lvlText w:val="–"/>
      <w:lvlJc w:val="left"/>
      <w:pPr>
        <w:tabs>
          <w:tab w:val="num" w:pos="4320"/>
        </w:tabs>
        <w:ind w:left="4320" w:hanging="360"/>
      </w:pPr>
      <w:rPr>
        <w:rFonts w:ascii="Arial" w:hAnsi="Arial" w:hint="default"/>
      </w:rPr>
    </w:lvl>
    <w:lvl w:ilvl="6" w:tplc="8ADA4940" w:tentative="1">
      <w:start w:val="1"/>
      <w:numFmt w:val="bullet"/>
      <w:lvlText w:val="–"/>
      <w:lvlJc w:val="left"/>
      <w:pPr>
        <w:tabs>
          <w:tab w:val="num" w:pos="5040"/>
        </w:tabs>
        <w:ind w:left="5040" w:hanging="360"/>
      </w:pPr>
      <w:rPr>
        <w:rFonts w:ascii="Arial" w:hAnsi="Arial" w:hint="default"/>
      </w:rPr>
    </w:lvl>
    <w:lvl w:ilvl="7" w:tplc="909E9EE6" w:tentative="1">
      <w:start w:val="1"/>
      <w:numFmt w:val="bullet"/>
      <w:lvlText w:val="–"/>
      <w:lvlJc w:val="left"/>
      <w:pPr>
        <w:tabs>
          <w:tab w:val="num" w:pos="5760"/>
        </w:tabs>
        <w:ind w:left="5760" w:hanging="360"/>
      </w:pPr>
      <w:rPr>
        <w:rFonts w:ascii="Arial" w:hAnsi="Arial" w:hint="default"/>
      </w:rPr>
    </w:lvl>
    <w:lvl w:ilvl="8" w:tplc="7E38D04A"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8"/>
  </w:num>
  <w:num w:numId="3">
    <w:abstractNumId w:val="5"/>
  </w:num>
  <w:num w:numId="4">
    <w:abstractNumId w:val="11"/>
  </w:num>
  <w:num w:numId="5">
    <w:abstractNumId w:val="17"/>
  </w:num>
  <w:num w:numId="6">
    <w:abstractNumId w:val="13"/>
  </w:num>
  <w:num w:numId="7">
    <w:abstractNumId w:val="4"/>
  </w:num>
  <w:num w:numId="8">
    <w:abstractNumId w:val="16"/>
  </w:num>
  <w:num w:numId="9">
    <w:abstractNumId w:val="1"/>
  </w:num>
  <w:num w:numId="10">
    <w:abstractNumId w:val="6"/>
  </w:num>
  <w:num w:numId="11">
    <w:abstractNumId w:val="0"/>
  </w:num>
  <w:num w:numId="12">
    <w:abstractNumId w:val="2"/>
  </w:num>
  <w:num w:numId="13">
    <w:abstractNumId w:val="10"/>
  </w:num>
  <w:num w:numId="14">
    <w:abstractNumId w:val="7"/>
  </w:num>
  <w:num w:numId="15">
    <w:abstractNumId w:val="15"/>
  </w:num>
  <w:num w:numId="16">
    <w:abstractNumId w:val="3"/>
  </w:num>
  <w:num w:numId="17">
    <w:abstractNumId w:val="18"/>
  </w:num>
  <w:num w:numId="18">
    <w:abstractNumId w:val="12"/>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F124F2"/>
    <w:rsid w:val="000049DE"/>
    <w:rsid w:val="000322E2"/>
    <w:rsid w:val="000334E8"/>
    <w:rsid w:val="000448CF"/>
    <w:rsid w:val="00050EDE"/>
    <w:rsid w:val="000557E0"/>
    <w:rsid w:val="0006757B"/>
    <w:rsid w:val="00076452"/>
    <w:rsid w:val="000B353E"/>
    <w:rsid w:val="000B52DA"/>
    <w:rsid w:val="000C11FD"/>
    <w:rsid w:val="000C15C2"/>
    <w:rsid w:val="000C2339"/>
    <w:rsid w:val="000C48A1"/>
    <w:rsid w:val="000C713A"/>
    <w:rsid w:val="000F2B96"/>
    <w:rsid w:val="000F59C8"/>
    <w:rsid w:val="000F7826"/>
    <w:rsid w:val="0010759F"/>
    <w:rsid w:val="0012567C"/>
    <w:rsid w:val="00133154"/>
    <w:rsid w:val="001405B5"/>
    <w:rsid w:val="00157A60"/>
    <w:rsid w:val="001670C5"/>
    <w:rsid w:val="00192EA8"/>
    <w:rsid w:val="001A32EA"/>
    <w:rsid w:val="001C3DB3"/>
    <w:rsid w:val="001C68E4"/>
    <w:rsid w:val="001D523C"/>
    <w:rsid w:val="001E5FE8"/>
    <w:rsid w:val="001F0B4A"/>
    <w:rsid w:val="001F5B73"/>
    <w:rsid w:val="00231601"/>
    <w:rsid w:val="00232375"/>
    <w:rsid w:val="00232900"/>
    <w:rsid w:val="00234891"/>
    <w:rsid w:val="00234D3A"/>
    <w:rsid w:val="0024011C"/>
    <w:rsid w:val="002406E7"/>
    <w:rsid w:val="00241AD3"/>
    <w:rsid w:val="0024656A"/>
    <w:rsid w:val="002535C0"/>
    <w:rsid w:val="002612B3"/>
    <w:rsid w:val="00282881"/>
    <w:rsid w:val="00292147"/>
    <w:rsid w:val="002A3D30"/>
    <w:rsid w:val="002B0513"/>
    <w:rsid w:val="002D4A15"/>
    <w:rsid w:val="002E2B0E"/>
    <w:rsid w:val="002F4023"/>
    <w:rsid w:val="002F5862"/>
    <w:rsid w:val="00305E53"/>
    <w:rsid w:val="00315462"/>
    <w:rsid w:val="00327A46"/>
    <w:rsid w:val="00333D2E"/>
    <w:rsid w:val="0033450D"/>
    <w:rsid w:val="00334CB5"/>
    <w:rsid w:val="003351D4"/>
    <w:rsid w:val="0033584B"/>
    <w:rsid w:val="003401EC"/>
    <w:rsid w:val="00354904"/>
    <w:rsid w:val="0035538B"/>
    <w:rsid w:val="00361ECF"/>
    <w:rsid w:val="00362D31"/>
    <w:rsid w:val="00364CC4"/>
    <w:rsid w:val="003704FB"/>
    <w:rsid w:val="003729DA"/>
    <w:rsid w:val="0037762C"/>
    <w:rsid w:val="003776AB"/>
    <w:rsid w:val="003805AA"/>
    <w:rsid w:val="003851E6"/>
    <w:rsid w:val="003861E2"/>
    <w:rsid w:val="00386BE6"/>
    <w:rsid w:val="003A67B7"/>
    <w:rsid w:val="003B2612"/>
    <w:rsid w:val="003B68A9"/>
    <w:rsid w:val="003B7D16"/>
    <w:rsid w:val="003C3330"/>
    <w:rsid w:val="003C3F71"/>
    <w:rsid w:val="003F6B6E"/>
    <w:rsid w:val="003F7E13"/>
    <w:rsid w:val="00423967"/>
    <w:rsid w:val="004333A4"/>
    <w:rsid w:val="00433AD4"/>
    <w:rsid w:val="00433BD4"/>
    <w:rsid w:val="004442FD"/>
    <w:rsid w:val="00450A4D"/>
    <w:rsid w:val="0045292A"/>
    <w:rsid w:val="00460219"/>
    <w:rsid w:val="004630A7"/>
    <w:rsid w:val="00470443"/>
    <w:rsid w:val="004708C2"/>
    <w:rsid w:val="00480317"/>
    <w:rsid w:val="0049051B"/>
    <w:rsid w:val="00491283"/>
    <w:rsid w:val="004A3F41"/>
    <w:rsid w:val="004B1848"/>
    <w:rsid w:val="004B27A9"/>
    <w:rsid w:val="004C2963"/>
    <w:rsid w:val="004C3675"/>
    <w:rsid w:val="004C7B90"/>
    <w:rsid w:val="004D41B6"/>
    <w:rsid w:val="004D4D11"/>
    <w:rsid w:val="004E1B8A"/>
    <w:rsid w:val="004F49E5"/>
    <w:rsid w:val="0050300B"/>
    <w:rsid w:val="00513C6D"/>
    <w:rsid w:val="00514CAF"/>
    <w:rsid w:val="00524C7D"/>
    <w:rsid w:val="00527613"/>
    <w:rsid w:val="00533450"/>
    <w:rsid w:val="0053794E"/>
    <w:rsid w:val="0055079C"/>
    <w:rsid w:val="00550FE0"/>
    <w:rsid w:val="0055348B"/>
    <w:rsid w:val="00561127"/>
    <w:rsid w:val="005650AC"/>
    <w:rsid w:val="00567C52"/>
    <w:rsid w:val="0057246F"/>
    <w:rsid w:val="00581E66"/>
    <w:rsid w:val="005871A4"/>
    <w:rsid w:val="00593B5E"/>
    <w:rsid w:val="0059441C"/>
    <w:rsid w:val="005A11F6"/>
    <w:rsid w:val="005C1791"/>
    <w:rsid w:val="005C2E9A"/>
    <w:rsid w:val="005D0E1A"/>
    <w:rsid w:val="00610DF6"/>
    <w:rsid w:val="00616F30"/>
    <w:rsid w:val="00627A3A"/>
    <w:rsid w:val="00632F8E"/>
    <w:rsid w:val="0063675E"/>
    <w:rsid w:val="00640DFE"/>
    <w:rsid w:val="0064234F"/>
    <w:rsid w:val="00646095"/>
    <w:rsid w:val="0068185F"/>
    <w:rsid w:val="00682B58"/>
    <w:rsid w:val="006A354E"/>
    <w:rsid w:val="006A5194"/>
    <w:rsid w:val="006B013B"/>
    <w:rsid w:val="006D3390"/>
    <w:rsid w:val="006E477E"/>
    <w:rsid w:val="00707804"/>
    <w:rsid w:val="00712BBD"/>
    <w:rsid w:val="00715544"/>
    <w:rsid w:val="00715E42"/>
    <w:rsid w:val="00716980"/>
    <w:rsid w:val="00717098"/>
    <w:rsid w:val="0073074D"/>
    <w:rsid w:val="007369BA"/>
    <w:rsid w:val="00736F2B"/>
    <w:rsid w:val="0073704E"/>
    <w:rsid w:val="0074251C"/>
    <w:rsid w:val="00745675"/>
    <w:rsid w:val="00760D3F"/>
    <w:rsid w:val="007613C9"/>
    <w:rsid w:val="007762CE"/>
    <w:rsid w:val="00783A1E"/>
    <w:rsid w:val="00784915"/>
    <w:rsid w:val="00784A6C"/>
    <w:rsid w:val="007A7D70"/>
    <w:rsid w:val="007B2689"/>
    <w:rsid w:val="007B3148"/>
    <w:rsid w:val="007D5428"/>
    <w:rsid w:val="007F3520"/>
    <w:rsid w:val="007F4C36"/>
    <w:rsid w:val="007F77CF"/>
    <w:rsid w:val="00801742"/>
    <w:rsid w:val="008074B5"/>
    <w:rsid w:val="008139CE"/>
    <w:rsid w:val="00822E13"/>
    <w:rsid w:val="00823357"/>
    <w:rsid w:val="0082357F"/>
    <w:rsid w:val="00831C1C"/>
    <w:rsid w:val="00845F29"/>
    <w:rsid w:val="0084606A"/>
    <w:rsid w:val="00850923"/>
    <w:rsid w:val="00854CBE"/>
    <w:rsid w:val="0085558C"/>
    <w:rsid w:val="00866467"/>
    <w:rsid w:val="00876540"/>
    <w:rsid w:val="00886DA5"/>
    <w:rsid w:val="008A5371"/>
    <w:rsid w:val="008B3305"/>
    <w:rsid w:val="008B5CDA"/>
    <w:rsid w:val="008C72DF"/>
    <w:rsid w:val="008E163A"/>
    <w:rsid w:val="008E2CBA"/>
    <w:rsid w:val="00902EE5"/>
    <w:rsid w:val="00916D71"/>
    <w:rsid w:val="009171A3"/>
    <w:rsid w:val="00922052"/>
    <w:rsid w:val="009231A9"/>
    <w:rsid w:val="0095146E"/>
    <w:rsid w:val="009618D5"/>
    <w:rsid w:val="009811E9"/>
    <w:rsid w:val="009A5673"/>
    <w:rsid w:val="009B1CEC"/>
    <w:rsid w:val="009C5C2C"/>
    <w:rsid w:val="009D6F37"/>
    <w:rsid w:val="009E629B"/>
    <w:rsid w:val="009F50F8"/>
    <w:rsid w:val="009F6D8B"/>
    <w:rsid w:val="009F7D76"/>
    <w:rsid w:val="00A2165D"/>
    <w:rsid w:val="00A22133"/>
    <w:rsid w:val="00A23890"/>
    <w:rsid w:val="00A2743D"/>
    <w:rsid w:val="00A4232A"/>
    <w:rsid w:val="00A44EF3"/>
    <w:rsid w:val="00A45A6C"/>
    <w:rsid w:val="00A4690F"/>
    <w:rsid w:val="00A5210A"/>
    <w:rsid w:val="00A57510"/>
    <w:rsid w:val="00A66337"/>
    <w:rsid w:val="00A75332"/>
    <w:rsid w:val="00A759E3"/>
    <w:rsid w:val="00A80407"/>
    <w:rsid w:val="00A84020"/>
    <w:rsid w:val="00A87582"/>
    <w:rsid w:val="00AB10BD"/>
    <w:rsid w:val="00AD6B80"/>
    <w:rsid w:val="00AF6768"/>
    <w:rsid w:val="00B0462D"/>
    <w:rsid w:val="00B161E6"/>
    <w:rsid w:val="00B2440F"/>
    <w:rsid w:val="00B32740"/>
    <w:rsid w:val="00B441E7"/>
    <w:rsid w:val="00B559E4"/>
    <w:rsid w:val="00B621F6"/>
    <w:rsid w:val="00B63FD3"/>
    <w:rsid w:val="00B821AC"/>
    <w:rsid w:val="00B85F11"/>
    <w:rsid w:val="00B96815"/>
    <w:rsid w:val="00BA60C7"/>
    <w:rsid w:val="00BA71B2"/>
    <w:rsid w:val="00BB5794"/>
    <w:rsid w:val="00BB5D62"/>
    <w:rsid w:val="00BE4D6A"/>
    <w:rsid w:val="00BE7A0B"/>
    <w:rsid w:val="00BF775D"/>
    <w:rsid w:val="00C05946"/>
    <w:rsid w:val="00C2303D"/>
    <w:rsid w:val="00C6118F"/>
    <w:rsid w:val="00C7024D"/>
    <w:rsid w:val="00C756D6"/>
    <w:rsid w:val="00C82356"/>
    <w:rsid w:val="00C82451"/>
    <w:rsid w:val="00C8345D"/>
    <w:rsid w:val="00C85E54"/>
    <w:rsid w:val="00CA3DF0"/>
    <w:rsid w:val="00CB52A0"/>
    <w:rsid w:val="00CB5A5F"/>
    <w:rsid w:val="00CB74B7"/>
    <w:rsid w:val="00CC69E1"/>
    <w:rsid w:val="00CD5236"/>
    <w:rsid w:val="00CE18F3"/>
    <w:rsid w:val="00D03C9B"/>
    <w:rsid w:val="00D27621"/>
    <w:rsid w:val="00D31215"/>
    <w:rsid w:val="00D326AA"/>
    <w:rsid w:val="00D452F5"/>
    <w:rsid w:val="00D45B33"/>
    <w:rsid w:val="00D54F5F"/>
    <w:rsid w:val="00D5570A"/>
    <w:rsid w:val="00D669FF"/>
    <w:rsid w:val="00D8604B"/>
    <w:rsid w:val="00D875A3"/>
    <w:rsid w:val="00DA3F31"/>
    <w:rsid w:val="00DA70A5"/>
    <w:rsid w:val="00DA7435"/>
    <w:rsid w:val="00DC0E6C"/>
    <w:rsid w:val="00DC5B39"/>
    <w:rsid w:val="00DD13DC"/>
    <w:rsid w:val="00DE26DE"/>
    <w:rsid w:val="00DF71A9"/>
    <w:rsid w:val="00E07494"/>
    <w:rsid w:val="00E10EFC"/>
    <w:rsid w:val="00E16FFB"/>
    <w:rsid w:val="00E24E53"/>
    <w:rsid w:val="00E35CF9"/>
    <w:rsid w:val="00E4588F"/>
    <w:rsid w:val="00E547AB"/>
    <w:rsid w:val="00E70614"/>
    <w:rsid w:val="00E83C3A"/>
    <w:rsid w:val="00E85A83"/>
    <w:rsid w:val="00E97A46"/>
    <w:rsid w:val="00EB498D"/>
    <w:rsid w:val="00EC466A"/>
    <w:rsid w:val="00ED4B6E"/>
    <w:rsid w:val="00ED72DE"/>
    <w:rsid w:val="00ED7696"/>
    <w:rsid w:val="00EE57BC"/>
    <w:rsid w:val="00EE614E"/>
    <w:rsid w:val="00EF07CF"/>
    <w:rsid w:val="00EF3D75"/>
    <w:rsid w:val="00EF7CE3"/>
    <w:rsid w:val="00F029AE"/>
    <w:rsid w:val="00F048E6"/>
    <w:rsid w:val="00F124F2"/>
    <w:rsid w:val="00F22596"/>
    <w:rsid w:val="00F2406B"/>
    <w:rsid w:val="00F24D9C"/>
    <w:rsid w:val="00F26021"/>
    <w:rsid w:val="00F3215B"/>
    <w:rsid w:val="00F44910"/>
    <w:rsid w:val="00F479AE"/>
    <w:rsid w:val="00F50F2A"/>
    <w:rsid w:val="00F672E7"/>
    <w:rsid w:val="00F742A0"/>
    <w:rsid w:val="00F77C56"/>
    <w:rsid w:val="00F90BEB"/>
    <w:rsid w:val="00F91F98"/>
    <w:rsid w:val="00FA49FD"/>
    <w:rsid w:val="00FB7D7C"/>
    <w:rsid w:val="00FE6A45"/>
    <w:rsid w:val="00FF28BA"/>
    <w:rsid w:val="00FF3545"/>
    <w:rsid w:val="00FF49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4C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246F"/>
    <w:rPr>
      <w:rFonts w:cs="Times New Roman"/>
      <w:color w:val="0000FF"/>
      <w:u w:val="single"/>
    </w:rPr>
  </w:style>
  <w:style w:type="character" w:styleId="CommentReference">
    <w:name w:val="annotation reference"/>
    <w:basedOn w:val="DefaultParagraphFont"/>
    <w:semiHidden/>
    <w:rsid w:val="00B96815"/>
    <w:rPr>
      <w:rFonts w:cs="Times New Roman"/>
      <w:sz w:val="16"/>
      <w:szCs w:val="16"/>
    </w:rPr>
  </w:style>
  <w:style w:type="paragraph" w:styleId="CommentText">
    <w:name w:val="annotation text"/>
    <w:basedOn w:val="Normal"/>
    <w:semiHidden/>
    <w:rsid w:val="00B96815"/>
    <w:rPr>
      <w:sz w:val="20"/>
      <w:szCs w:val="20"/>
    </w:rPr>
  </w:style>
  <w:style w:type="paragraph" w:styleId="BalloonText">
    <w:name w:val="Balloon Text"/>
    <w:basedOn w:val="Normal"/>
    <w:semiHidden/>
    <w:rsid w:val="00B96815"/>
    <w:rPr>
      <w:rFonts w:ascii="Tahoma" w:hAnsi="Tahoma" w:cs="Tahoma"/>
      <w:sz w:val="16"/>
      <w:szCs w:val="16"/>
    </w:rPr>
  </w:style>
  <w:style w:type="paragraph" w:styleId="CommentSubject">
    <w:name w:val="annotation subject"/>
    <w:basedOn w:val="CommentText"/>
    <w:next w:val="CommentText"/>
    <w:semiHidden/>
    <w:rsid w:val="000F7826"/>
    <w:rPr>
      <w:b/>
      <w:bCs/>
    </w:rPr>
  </w:style>
  <w:style w:type="paragraph" w:styleId="Revision">
    <w:name w:val="Revision"/>
    <w:hidden/>
    <w:uiPriority w:val="99"/>
    <w:semiHidden/>
    <w:rsid w:val="00632F8E"/>
    <w:rPr>
      <w:sz w:val="24"/>
      <w:szCs w:val="24"/>
    </w:rPr>
  </w:style>
  <w:style w:type="paragraph" w:styleId="NormalWeb">
    <w:name w:val="Normal (Web)"/>
    <w:basedOn w:val="Normal"/>
    <w:uiPriority w:val="99"/>
    <w:unhideWhenUsed/>
    <w:rsid w:val="00BB5D62"/>
    <w:pPr>
      <w:spacing w:before="100" w:beforeAutospacing="1" w:after="100" w:afterAutospacing="1"/>
    </w:pPr>
    <w:rPr>
      <w:sz w:val="20"/>
      <w:szCs w:val="20"/>
    </w:rPr>
  </w:style>
  <w:style w:type="paragraph" w:styleId="Header">
    <w:name w:val="header"/>
    <w:basedOn w:val="Normal"/>
    <w:link w:val="HeaderChar"/>
    <w:rsid w:val="0045292A"/>
    <w:pPr>
      <w:tabs>
        <w:tab w:val="center" w:pos="4680"/>
        <w:tab w:val="right" w:pos="9360"/>
      </w:tabs>
    </w:pPr>
  </w:style>
  <w:style w:type="character" w:customStyle="1" w:styleId="HeaderChar">
    <w:name w:val="Header Char"/>
    <w:basedOn w:val="DefaultParagraphFont"/>
    <w:link w:val="Header"/>
    <w:rsid w:val="0045292A"/>
    <w:rPr>
      <w:sz w:val="24"/>
      <w:szCs w:val="24"/>
    </w:rPr>
  </w:style>
  <w:style w:type="paragraph" w:styleId="Footer">
    <w:name w:val="footer"/>
    <w:basedOn w:val="Normal"/>
    <w:link w:val="FooterChar"/>
    <w:uiPriority w:val="99"/>
    <w:rsid w:val="0045292A"/>
    <w:pPr>
      <w:tabs>
        <w:tab w:val="center" w:pos="4680"/>
        <w:tab w:val="right" w:pos="9360"/>
      </w:tabs>
    </w:pPr>
  </w:style>
  <w:style w:type="character" w:customStyle="1" w:styleId="FooterChar">
    <w:name w:val="Footer Char"/>
    <w:basedOn w:val="DefaultParagraphFont"/>
    <w:link w:val="Footer"/>
    <w:uiPriority w:val="99"/>
    <w:rsid w:val="0045292A"/>
    <w:rPr>
      <w:sz w:val="24"/>
      <w:szCs w:val="24"/>
    </w:rPr>
  </w:style>
</w:styles>
</file>

<file path=word/webSettings.xml><?xml version="1.0" encoding="utf-8"?>
<w:webSettings xmlns:r="http://schemas.openxmlformats.org/officeDocument/2006/relationships" xmlns:w="http://schemas.openxmlformats.org/wordprocessingml/2006/main">
  <w:divs>
    <w:div w:id="89545629">
      <w:bodyDiv w:val="1"/>
      <w:marLeft w:val="0"/>
      <w:marRight w:val="0"/>
      <w:marTop w:val="0"/>
      <w:marBottom w:val="0"/>
      <w:divBdr>
        <w:top w:val="none" w:sz="0" w:space="0" w:color="auto"/>
        <w:left w:val="none" w:sz="0" w:space="0" w:color="auto"/>
        <w:bottom w:val="none" w:sz="0" w:space="0" w:color="auto"/>
        <w:right w:val="none" w:sz="0" w:space="0" w:color="auto"/>
      </w:divBdr>
    </w:div>
    <w:div w:id="323364557">
      <w:bodyDiv w:val="1"/>
      <w:marLeft w:val="0"/>
      <w:marRight w:val="0"/>
      <w:marTop w:val="0"/>
      <w:marBottom w:val="0"/>
      <w:divBdr>
        <w:top w:val="none" w:sz="0" w:space="0" w:color="auto"/>
        <w:left w:val="none" w:sz="0" w:space="0" w:color="auto"/>
        <w:bottom w:val="none" w:sz="0" w:space="0" w:color="auto"/>
        <w:right w:val="none" w:sz="0" w:space="0" w:color="auto"/>
      </w:divBdr>
    </w:div>
    <w:div w:id="490602721">
      <w:bodyDiv w:val="1"/>
      <w:marLeft w:val="0"/>
      <w:marRight w:val="0"/>
      <w:marTop w:val="0"/>
      <w:marBottom w:val="0"/>
      <w:divBdr>
        <w:top w:val="none" w:sz="0" w:space="0" w:color="auto"/>
        <w:left w:val="none" w:sz="0" w:space="0" w:color="auto"/>
        <w:bottom w:val="none" w:sz="0" w:space="0" w:color="auto"/>
        <w:right w:val="none" w:sz="0" w:space="0" w:color="auto"/>
      </w:divBdr>
    </w:div>
    <w:div w:id="522399507">
      <w:bodyDiv w:val="1"/>
      <w:marLeft w:val="0"/>
      <w:marRight w:val="0"/>
      <w:marTop w:val="0"/>
      <w:marBottom w:val="0"/>
      <w:divBdr>
        <w:top w:val="none" w:sz="0" w:space="0" w:color="auto"/>
        <w:left w:val="none" w:sz="0" w:space="0" w:color="auto"/>
        <w:bottom w:val="none" w:sz="0" w:space="0" w:color="auto"/>
        <w:right w:val="none" w:sz="0" w:space="0" w:color="auto"/>
      </w:divBdr>
    </w:div>
    <w:div w:id="727729647">
      <w:bodyDiv w:val="1"/>
      <w:marLeft w:val="0"/>
      <w:marRight w:val="0"/>
      <w:marTop w:val="0"/>
      <w:marBottom w:val="0"/>
      <w:divBdr>
        <w:top w:val="none" w:sz="0" w:space="0" w:color="auto"/>
        <w:left w:val="none" w:sz="0" w:space="0" w:color="auto"/>
        <w:bottom w:val="none" w:sz="0" w:space="0" w:color="auto"/>
        <w:right w:val="none" w:sz="0" w:space="0" w:color="auto"/>
      </w:divBdr>
      <w:divsChild>
        <w:div w:id="765344588">
          <w:marLeft w:val="893"/>
          <w:marRight w:val="0"/>
          <w:marTop w:val="86"/>
          <w:marBottom w:val="0"/>
          <w:divBdr>
            <w:top w:val="none" w:sz="0" w:space="0" w:color="auto"/>
            <w:left w:val="none" w:sz="0" w:space="0" w:color="auto"/>
            <w:bottom w:val="none" w:sz="0" w:space="0" w:color="auto"/>
            <w:right w:val="none" w:sz="0" w:space="0" w:color="auto"/>
          </w:divBdr>
        </w:div>
        <w:div w:id="1146896468">
          <w:marLeft w:val="893"/>
          <w:marRight w:val="0"/>
          <w:marTop w:val="86"/>
          <w:marBottom w:val="0"/>
          <w:divBdr>
            <w:top w:val="none" w:sz="0" w:space="0" w:color="auto"/>
            <w:left w:val="none" w:sz="0" w:space="0" w:color="auto"/>
            <w:bottom w:val="none" w:sz="0" w:space="0" w:color="auto"/>
            <w:right w:val="none" w:sz="0" w:space="0" w:color="auto"/>
          </w:divBdr>
        </w:div>
        <w:div w:id="1941134797">
          <w:marLeft w:val="893"/>
          <w:marRight w:val="0"/>
          <w:marTop w:val="86"/>
          <w:marBottom w:val="0"/>
          <w:divBdr>
            <w:top w:val="none" w:sz="0" w:space="0" w:color="auto"/>
            <w:left w:val="none" w:sz="0" w:space="0" w:color="auto"/>
            <w:bottom w:val="none" w:sz="0" w:space="0" w:color="auto"/>
            <w:right w:val="none" w:sz="0" w:space="0" w:color="auto"/>
          </w:divBdr>
        </w:div>
        <w:div w:id="1994600159">
          <w:marLeft w:val="893"/>
          <w:marRight w:val="0"/>
          <w:marTop w:val="86"/>
          <w:marBottom w:val="0"/>
          <w:divBdr>
            <w:top w:val="none" w:sz="0" w:space="0" w:color="auto"/>
            <w:left w:val="none" w:sz="0" w:space="0" w:color="auto"/>
            <w:bottom w:val="none" w:sz="0" w:space="0" w:color="auto"/>
            <w:right w:val="none" w:sz="0" w:space="0" w:color="auto"/>
          </w:divBdr>
        </w:div>
      </w:divsChild>
    </w:div>
    <w:div w:id="962344651">
      <w:bodyDiv w:val="1"/>
      <w:marLeft w:val="0"/>
      <w:marRight w:val="0"/>
      <w:marTop w:val="0"/>
      <w:marBottom w:val="0"/>
      <w:divBdr>
        <w:top w:val="none" w:sz="0" w:space="0" w:color="auto"/>
        <w:left w:val="none" w:sz="0" w:space="0" w:color="auto"/>
        <w:bottom w:val="none" w:sz="0" w:space="0" w:color="auto"/>
        <w:right w:val="none" w:sz="0" w:space="0" w:color="auto"/>
      </w:divBdr>
    </w:div>
    <w:div w:id="1345474199">
      <w:bodyDiv w:val="1"/>
      <w:marLeft w:val="0"/>
      <w:marRight w:val="0"/>
      <w:marTop w:val="0"/>
      <w:marBottom w:val="0"/>
      <w:divBdr>
        <w:top w:val="none" w:sz="0" w:space="0" w:color="auto"/>
        <w:left w:val="none" w:sz="0" w:space="0" w:color="auto"/>
        <w:bottom w:val="none" w:sz="0" w:space="0" w:color="auto"/>
        <w:right w:val="none" w:sz="0" w:space="0" w:color="auto"/>
      </w:divBdr>
    </w:div>
    <w:div w:id="1441300077">
      <w:bodyDiv w:val="1"/>
      <w:marLeft w:val="0"/>
      <w:marRight w:val="0"/>
      <w:marTop w:val="0"/>
      <w:marBottom w:val="0"/>
      <w:divBdr>
        <w:top w:val="none" w:sz="0" w:space="0" w:color="auto"/>
        <w:left w:val="none" w:sz="0" w:space="0" w:color="auto"/>
        <w:bottom w:val="none" w:sz="0" w:space="0" w:color="auto"/>
        <w:right w:val="none" w:sz="0" w:space="0" w:color="auto"/>
      </w:divBdr>
    </w:div>
    <w:div w:id="201294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WF_TPA_Install_Support@gwr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Updated PSC Verbiage</vt:lpstr>
    </vt:vector>
  </TitlesOfParts>
  <Company>Great-West Life</Company>
  <LinksUpToDate>false</LinksUpToDate>
  <CharactersWithSpaces>4324</CharactersWithSpaces>
  <SharedDoc>false</SharedDoc>
  <HLinks>
    <vt:vector size="12" baseType="variant">
      <vt:variant>
        <vt:i4>2949172</vt:i4>
      </vt:variant>
      <vt:variant>
        <vt:i4>3</vt:i4>
      </vt:variant>
      <vt:variant>
        <vt:i4>0</vt:i4>
      </vt:variant>
      <vt:variant>
        <vt:i4>5</vt:i4>
      </vt:variant>
      <vt:variant>
        <vt:lpwstr>mailto:GWF_TPA_Install_Support@gwrs.com</vt:lpwstr>
      </vt:variant>
      <vt:variant>
        <vt:lpwstr/>
      </vt:variant>
      <vt:variant>
        <vt:i4>655417</vt:i4>
      </vt:variant>
      <vt:variant>
        <vt:i4>0</vt:i4>
      </vt:variant>
      <vt:variant>
        <vt:i4>0</vt:i4>
      </vt:variant>
      <vt:variant>
        <vt:i4>5</vt:i4>
      </vt:variant>
      <vt:variant>
        <vt:lpwstr>mailto:techsupport@retirementpartner.com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PSC Verbiage</dc:title>
  <dc:creator>Great West Life</dc:creator>
  <cp:lastModifiedBy>Sheri Myhra</cp:lastModifiedBy>
  <cp:revision>2</cp:revision>
  <cp:lastPrinted>2008-04-30T12:24:00Z</cp:lastPrinted>
  <dcterms:created xsi:type="dcterms:W3CDTF">2013-12-03T20:32:00Z</dcterms:created>
  <dcterms:modified xsi:type="dcterms:W3CDTF">2013-12-03T20:32:00Z</dcterms:modified>
</cp:coreProperties>
</file>